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03.12.2020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0"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229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уповноваження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служби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справах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щодо підготовки проєктів рішень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органу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опіки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піклування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зарахування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цілодобове перебування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закладу,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який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здійснює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інституційний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догляд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виховання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дітей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неповнолітньому (…)статусу</w:t>
            </w:r>
          </w:p>
          <w:p>
            <w:pPr>
              <w:pStyle w:val="TableParagraph"/>
              <w:spacing w:line="220" w:lineRule="atLeast" w:before="0"/>
              <w:ind w:right="259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малолітньому (…)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статусу</w:t>
            </w:r>
          </w:p>
          <w:p>
            <w:pPr>
              <w:pStyle w:val="TableParagraph"/>
              <w:spacing w:line="220" w:lineRule="atLeast" w:before="0"/>
              <w:ind w:right="259"/>
              <w:jc w:val="left"/>
              <w:rPr>
                <w:sz w:val="17"/>
              </w:rPr>
            </w:pPr>
            <w:r>
              <w:rPr>
                <w:sz w:val="17"/>
              </w:rPr>
              <w:t>дитини,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яка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постраждала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внаслідок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воєнних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збройних конфліктів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служби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 справах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дітей 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підтвердження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виїзду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межі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України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служби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 справах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дітей 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підтвердження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виїзду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межі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України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висновку служби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 справах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дітей 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підтвердження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місця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дитини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її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виїзду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межі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України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224/7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224/8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правочину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111"/>
              <w:jc w:val="right"/>
              <w:rPr>
                <w:sz w:val="17"/>
              </w:rPr>
            </w:pPr>
            <w:r>
              <w:rPr>
                <w:sz w:val="17"/>
              </w:rPr>
              <w:t>224/9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опікуна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над нерухомим</w:t>
            </w:r>
          </w:p>
          <w:p>
            <w:pPr>
              <w:pStyle w:val="TableParagraph"/>
              <w:spacing w:line="192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майном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дитини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224/10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2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3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«Запорізька спеціальна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«Орієнтир»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224/11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3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«Запорізька спеціальна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«Джерело»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224/12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3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«Запорізька спеціальна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школа-інтернат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«Джерело»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обласної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224/13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3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доцільність цілодобового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перебування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(…)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КЗ «Кам’янська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спеціальна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школа-інтернат»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обласної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</w:tc>
        <w:tc>
          <w:tcPr>
            <w:tcW w:w="663" w:type="dxa"/>
          </w:tcPr>
          <w:p>
            <w:pPr>
              <w:pStyle w:val="TableParagraph"/>
              <w:ind w:left="0" w:right="68"/>
              <w:jc w:val="right"/>
              <w:rPr>
                <w:sz w:val="17"/>
              </w:rPr>
            </w:pPr>
            <w:r>
              <w:rPr>
                <w:sz w:val="17"/>
              </w:rPr>
              <w:t>224/14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119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встановлення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статусу дитині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224/15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надання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згоди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психіатричний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огляд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224/16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подання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суду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225/1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подання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суду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щодо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доцільності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опікуна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225/2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допомогу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227/1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прийняття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квартирний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облік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внутрішньо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переміщених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осіб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227/2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305"/>
              <w:jc w:val="left"/>
              <w:rPr>
                <w:sz w:val="17"/>
              </w:rPr>
            </w:pPr>
            <w:r>
              <w:rPr>
                <w:sz w:val="17"/>
              </w:rPr>
              <w:t>Про 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управлінням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захисту населення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Мелітопольської міської</w:t>
            </w:r>
          </w:p>
          <w:p>
            <w:pPr>
              <w:pStyle w:val="TableParagraph"/>
              <w:spacing w:line="271" w:lineRule="auto" w:before="0"/>
              <w:ind w:right="46"/>
              <w:jc w:val="left"/>
              <w:rPr>
                <w:sz w:val="17"/>
              </w:rPr>
            </w:pP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Запорізької області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безоплатної передачі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частини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вбудованих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нежитлових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приміщень,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що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розташовані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адресою: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Мелітополь,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Гризодубової,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44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області з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228/1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245"/>
              <w:jc w:val="left"/>
              <w:rPr>
                <w:sz w:val="17"/>
              </w:rPr>
            </w:pPr>
            <w:r>
              <w:rPr>
                <w:sz w:val="17"/>
              </w:rPr>
              <w:t>Про здійснення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КП «Комунальна власність»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 безоплатної передачі комунального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правом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управління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228/2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передноворічної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ялинками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9" w:right="125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9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тимчасових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перевізників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проходять 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межах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27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230/1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65" w:right="56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92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перевізника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пасажирів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маршрутах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загального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користування,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які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проходять 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межах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Мелітополя,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11,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28</w:t>
            </w:r>
          </w:p>
        </w:tc>
        <w:tc>
          <w:tcPr>
            <w:tcW w:w="663" w:type="dxa"/>
          </w:tcPr>
          <w:p>
            <w:pPr>
              <w:pStyle w:val="TableParagraph"/>
              <w:ind w:left="81" w:right="54"/>
              <w:rPr>
                <w:sz w:val="17"/>
              </w:rPr>
            </w:pPr>
            <w:r>
              <w:rPr>
                <w:sz w:val="17"/>
              </w:rPr>
              <w:t>230/2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rPr>
                <w:sz w:val="17"/>
              </w:rPr>
            </w:pPr>
            <w:r>
              <w:rPr>
                <w:sz w:val="17"/>
              </w:rPr>
              <w:t>03/12/2020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jc w:val="left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20" w:hRule="atLeast"/>
        </w:trPr>
        <w:tc>
          <w:tcPr>
            <w:tcW w:w="3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  <w:tc>
          <w:tcPr>
            <w:tcW w:w="8465" w:type="dxa"/>
            <w:gridSpan w:val="6"/>
          </w:tcPr>
          <w:p>
            <w:pPr>
              <w:pStyle w:val="TableParagraph"/>
              <w:spacing w:line="191" w:lineRule="exact" w:before="9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(…)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інформація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не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оприлюднюється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інтересах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дітей</w:t>
            </w:r>
          </w:p>
        </w:tc>
      </w:tr>
    </w:tbl>
    <w:sectPr>
      <w:type w:val="continuous"/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2021-09-15T02:34:15Z</dcterms:created>
  <dcterms:modified xsi:type="dcterms:W3CDTF">2021-09-15T02:34:15Z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